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4953" w14:textId="47ECBE38"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w:t>
      </w:r>
      <w:r w:rsidR="005B0F9F">
        <w:rPr>
          <w:rFonts w:cs="Courier New"/>
          <w:sz w:val="24"/>
          <w:szCs w:val="24"/>
          <w:lang w:val="de-DE"/>
        </w:rPr>
        <w:t>4</w:t>
      </w:r>
      <w:r w:rsidRPr="00DB3907">
        <w:rPr>
          <w:rFonts w:cs="Courier New"/>
          <w:sz w:val="24"/>
          <w:szCs w:val="24"/>
          <w:lang w:val="de-DE"/>
        </w:rPr>
        <w:tab/>
        <w:t>R4-</w:t>
      </w:r>
      <w:r w:rsidR="00D93F65" w:rsidRPr="00D93F65">
        <w:rPr>
          <w:rFonts w:cs="Courier New"/>
          <w:sz w:val="24"/>
          <w:szCs w:val="24"/>
          <w:lang w:val="de-DE"/>
        </w:rPr>
        <w:t>1708450</w:t>
      </w:r>
    </w:p>
    <w:p w14:paraId="3486D36A" w14:textId="21B5EA1F" w:rsidR="008209AC" w:rsidRPr="00DB3907" w:rsidRDefault="005B0F9F" w:rsidP="008209AC">
      <w:pPr>
        <w:pStyle w:val="Header"/>
        <w:tabs>
          <w:tab w:val="left" w:pos="6521"/>
        </w:tabs>
        <w:jc w:val="both"/>
        <w:rPr>
          <w:rFonts w:cs="Courier New"/>
          <w:sz w:val="24"/>
          <w:szCs w:val="24"/>
        </w:rPr>
      </w:pPr>
      <w:r>
        <w:rPr>
          <w:rFonts w:cs="Courier New"/>
          <w:sz w:val="24"/>
          <w:szCs w:val="24"/>
        </w:rPr>
        <w:t>Berlin</w:t>
      </w:r>
      <w:r w:rsidR="008209AC">
        <w:rPr>
          <w:rFonts w:cs="Courier New"/>
          <w:sz w:val="24"/>
          <w:szCs w:val="24"/>
        </w:rPr>
        <w:t xml:space="preserve"> </w:t>
      </w:r>
      <w:r>
        <w:rPr>
          <w:rFonts w:cs="Courier New"/>
          <w:sz w:val="24"/>
          <w:szCs w:val="24"/>
        </w:rPr>
        <w:t>21</w:t>
      </w:r>
      <w:r>
        <w:rPr>
          <w:rFonts w:cs="Courier New"/>
          <w:sz w:val="24"/>
          <w:szCs w:val="24"/>
          <w:vertAlign w:val="superscript"/>
        </w:rPr>
        <w:t>st</w:t>
      </w:r>
      <w:r w:rsidR="008209AC">
        <w:rPr>
          <w:rFonts w:cs="Courier New"/>
          <w:sz w:val="24"/>
          <w:szCs w:val="24"/>
          <w:vertAlign w:val="superscript"/>
        </w:rPr>
        <w:t xml:space="preserve"> </w:t>
      </w:r>
      <w:r w:rsidR="008209AC" w:rsidRPr="00DB3907">
        <w:rPr>
          <w:rFonts w:cs="Courier New"/>
          <w:sz w:val="24"/>
          <w:szCs w:val="24"/>
        </w:rPr>
        <w:t xml:space="preserve">– </w:t>
      </w:r>
      <w:r>
        <w:rPr>
          <w:rFonts w:cs="Courier New"/>
          <w:sz w:val="24"/>
          <w:szCs w:val="24"/>
        </w:rPr>
        <w:t>25</w:t>
      </w:r>
      <w:r w:rsidR="008209AC">
        <w:rPr>
          <w:rFonts w:cs="Courier New"/>
          <w:sz w:val="24"/>
          <w:szCs w:val="24"/>
          <w:vertAlign w:val="superscript"/>
        </w:rPr>
        <w:t>th</w:t>
      </w:r>
      <w:r w:rsidR="008209AC">
        <w:rPr>
          <w:rFonts w:cs="Courier New"/>
          <w:sz w:val="24"/>
          <w:szCs w:val="24"/>
        </w:rPr>
        <w:t>, 201</w:t>
      </w:r>
      <w:r w:rsidR="000D7293">
        <w:rPr>
          <w:rFonts w:cs="Courier New"/>
          <w:sz w:val="24"/>
          <w:szCs w:val="24"/>
        </w:rPr>
        <w:t>7</w:t>
      </w:r>
    </w:p>
    <w:p w14:paraId="33695051" w14:textId="3DF372A9" w:rsidR="008209AC" w:rsidRPr="00DB3907" w:rsidRDefault="005B0F9F" w:rsidP="008209AC">
      <w:pPr>
        <w:pStyle w:val="Header"/>
        <w:jc w:val="both"/>
        <w:rPr>
          <w:rFonts w:cs="Courier New"/>
          <w:sz w:val="24"/>
          <w:szCs w:val="24"/>
        </w:rPr>
      </w:pPr>
      <w:r>
        <w:rPr>
          <w:rFonts w:cs="Courier New"/>
          <w:sz w:val="24"/>
          <w:szCs w:val="24"/>
        </w:rPr>
        <w:t>Berlin</w:t>
      </w:r>
      <w:r w:rsidR="00575814" w:rsidRPr="00575814">
        <w:rPr>
          <w:rFonts w:cs="Courier New"/>
          <w:sz w:val="24"/>
          <w:szCs w:val="24"/>
        </w:rPr>
        <w:t xml:space="preserve">, </w:t>
      </w:r>
      <w:r>
        <w:rPr>
          <w:rFonts w:cs="Courier New"/>
          <w:sz w:val="24"/>
          <w:szCs w:val="24"/>
        </w:rPr>
        <w:t>Germany</w:t>
      </w:r>
      <w:r w:rsidR="008209AC">
        <w:rPr>
          <w:rFonts w:cs="Courier New"/>
          <w:sz w:val="24"/>
          <w:szCs w:val="24"/>
        </w:rPr>
        <w:t xml:space="preserve"> </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C62DED0"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4B719C">
        <w:rPr>
          <w:rFonts w:ascii="Arial" w:hAnsi="Arial"/>
          <w:sz w:val="24"/>
          <w:lang w:val="en-US"/>
        </w:rPr>
        <w:t>9.4.3.3</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0F5F5B0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A0187" w:rsidRPr="001A0187">
        <w:rPr>
          <w:rFonts w:ascii="Arial" w:hAnsi="Arial"/>
          <w:sz w:val="24"/>
          <w:lang w:val="en-US"/>
        </w:rPr>
        <w:t>General observations on UE emissions in mmW</w:t>
      </w:r>
    </w:p>
    <w:p w14:paraId="0539B97D" w14:textId="3C73DCF9"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1A0187">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2E09432C" w14:textId="4F9A4677" w:rsidR="001A0187" w:rsidRPr="001A0187" w:rsidRDefault="00262CE4" w:rsidP="0020451B">
      <w:pPr>
        <w:jc w:val="both"/>
      </w:pPr>
      <w:r>
        <w:t>In</w:t>
      </w:r>
      <w:r w:rsidR="001A0187">
        <w:t xml:space="preserve"> RAN4 NR ad hoc meeting held in Qingdao, a way forward (WF) on spurious emission for NR UE was approved </w:t>
      </w:r>
      <w:r w:rsidR="001A0187">
        <w:fldChar w:fldCharType="begin"/>
      </w:r>
      <w:r w:rsidR="001A0187">
        <w:instrText xml:space="preserve"> REF _Ref490059126 \r \h </w:instrText>
      </w:r>
      <w:r w:rsidR="001A0187">
        <w:fldChar w:fldCharType="separate"/>
      </w:r>
      <w:r w:rsidR="00D822E4">
        <w:t>[1]</w:t>
      </w:r>
      <w:r w:rsidR="001A0187">
        <w:fldChar w:fldCharType="end"/>
      </w:r>
      <w:r w:rsidR="00970ED3">
        <w:t>.</w:t>
      </w:r>
      <w:r w:rsidR="001A0187">
        <w:t xml:space="preserve"> The WF was triggered by a liaison statement sent by ITU-R to RAN4 asking further clarification about UE spurious emission requirement. The aim of this contribution is to provide</w:t>
      </w:r>
      <w:r w:rsidR="008F47A9">
        <w:t xml:space="preserve"> a</w:t>
      </w:r>
      <w:r w:rsidR="001A0187">
        <w:t xml:space="preserve"> general clarification </w:t>
      </w:r>
      <w:r w:rsidR="00BB4646">
        <w:t>about</w:t>
      </w:r>
      <w:r w:rsidR="001A0187">
        <w:t xml:space="preserve"> the main UE emissions characteristic in </w:t>
      </w:r>
      <w:proofErr w:type="spellStart"/>
      <w:r w:rsidR="001A0187">
        <w:t>millimiter</w:t>
      </w:r>
      <w:proofErr w:type="spellEnd"/>
      <w:r w:rsidR="001A0187">
        <w:t xml:space="preserve"> wave (mmW) frequency ranges. The final goal is</w:t>
      </w:r>
      <w:r w:rsidR="00991DC7">
        <w:t xml:space="preserve"> to</w:t>
      </w:r>
      <w:r w:rsidR="001A0187">
        <w:t xml:space="preserve"> help </w:t>
      </w:r>
      <w:r w:rsidR="008E4B6E">
        <w:t xml:space="preserve">defining </w:t>
      </w:r>
      <w:r w:rsidR="001A0187">
        <w:t xml:space="preserve">the correct characterization of UE behaviour in </w:t>
      </w:r>
      <w:r w:rsidR="00991DC7">
        <w:t xml:space="preserve">the </w:t>
      </w:r>
      <w:r w:rsidR="00667A48">
        <w:t>ITU-R sharing studies.</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2105AA19" w14:textId="621A1A4D" w:rsidR="00983939" w:rsidRDefault="00667A48" w:rsidP="00983939">
      <w:pPr>
        <w:jc w:val="both"/>
        <w:rPr>
          <w:lang w:val="en-US"/>
        </w:rPr>
      </w:pPr>
      <w:r>
        <w:rPr>
          <w:lang w:val="en-US"/>
        </w:rPr>
        <w:t>The content of ITU-R Working Party 5D LS on IMT-2020 unwanted emission was already discussed in RAN4</w:t>
      </w:r>
      <w:r w:rsidR="00FA241B">
        <w:rPr>
          <w:lang w:val="en-US"/>
        </w:rPr>
        <w:t>.</w:t>
      </w:r>
      <w:r>
        <w:rPr>
          <w:lang w:val="en-US"/>
        </w:rPr>
        <w:t xml:space="preserve"> An official version of the LS will be also discussed in RAN4 #84 </w:t>
      </w:r>
      <w:r>
        <w:rPr>
          <w:lang w:val="en-US"/>
        </w:rPr>
        <w:fldChar w:fldCharType="begin"/>
      </w:r>
      <w:r>
        <w:rPr>
          <w:lang w:val="en-US"/>
        </w:rPr>
        <w:instrText xml:space="preserve"> REF _Ref490059901 \r \h </w:instrText>
      </w:r>
      <w:r>
        <w:rPr>
          <w:lang w:val="en-US"/>
        </w:rPr>
      </w:r>
      <w:r>
        <w:rPr>
          <w:lang w:val="en-US"/>
        </w:rPr>
        <w:fldChar w:fldCharType="separate"/>
      </w:r>
      <w:r w:rsidR="00D822E4">
        <w:rPr>
          <w:lang w:val="en-US"/>
        </w:rPr>
        <w:t>[3]</w:t>
      </w:r>
      <w:r>
        <w:rPr>
          <w:lang w:val="en-US"/>
        </w:rPr>
        <w:fldChar w:fldCharType="end"/>
      </w:r>
      <w:r>
        <w:rPr>
          <w:lang w:val="en-US"/>
        </w:rPr>
        <w:t xml:space="preserve">. With particular emphasis on passive services (operating for instance in the band 23.6-24.0 GH), ITU-R asks the feasibility of more string limit compared to the categories </w:t>
      </w:r>
      <w:r w:rsidR="00C36BC7">
        <w:rPr>
          <w:lang w:val="en-US"/>
        </w:rPr>
        <w:t xml:space="preserve">defined in recommendation ITU-R SM.329. ITU-R requests were discussed and summarized in </w:t>
      </w:r>
      <w:r w:rsidR="00C36BC7">
        <w:rPr>
          <w:lang w:val="en-US"/>
        </w:rPr>
        <w:fldChar w:fldCharType="begin"/>
      </w:r>
      <w:r w:rsidR="00C36BC7">
        <w:rPr>
          <w:lang w:val="en-US"/>
        </w:rPr>
        <w:instrText xml:space="preserve"> REF _Ref490059126 \r \h </w:instrText>
      </w:r>
      <w:r w:rsidR="00C36BC7">
        <w:rPr>
          <w:lang w:val="en-US"/>
        </w:rPr>
      </w:r>
      <w:r w:rsidR="00C36BC7">
        <w:rPr>
          <w:lang w:val="en-US"/>
        </w:rPr>
        <w:fldChar w:fldCharType="separate"/>
      </w:r>
      <w:r w:rsidR="00D822E4">
        <w:rPr>
          <w:lang w:val="en-US"/>
        </w:rPr>
        <w:t>[1]</w:t>
      </w:r>
      <w:r w:rsidR="00C36BC7">
        <w:rPr>
          <w:lang w:val="en-US"/>
        </w:rPr>
        <w:fldChar w:fldCharType="end"/>
      </w:r>
      <w:r w:rsidR="00C36BC7">
        <w:rPr>
          <w:lang w:val="en-US"/>
        </w:rPr>
        <w:t>:</w:t>
      </w:r>
    </w:p>
    <w:p w14:paraId="657503E5" w14:textId="52862A6C" w:rsidR="00C36BC7" w:rsidRDefault="00991DC7" w:rsidP="00C36BC7">
      <w:pPr>
        <w:pStyle w:val="ListParagraph"/>
        <w:numPr>
          <w:ilvl w:val="0"/>
          <w:numId w:val="31"/>
        </w:numPr>
        <w:jc w:val="both"/>
        <w:rPr>
          <w:lang w:val="en-US"/>
        </w:rPr>
      </w:pPr>
      <w:r>
        <w:rPr>
          <w:lang w:val="en-US"/>
        </w:rPr>
        <w:t>F</w:t>
      </w:r>
      <w:r w:rsidR="00C36BC7" w:rsidRPr="00C36BC7">
        <w:rPr>
          <w:lang w:val="en-US"/>
        </w:rPr>
        <w:t xml:space="preserve">easibility of -30 </w:t>
      </w:r>
      <w:proofErr w:type="spellStart"/>
      <w:r w:rsidR="00C36BC7" w:rsidRPr="00C36BC7">
        <w:rPr>
          <w:lang w:val="en-US"/>
        </w:rPr>
        <w:t>dBm</w:t>
      </w:r>
      <w:proofErr w:type="spellEnd"/>
      <w:r w:rsidR="00C36BC7" w:rsidRPr="00C36BC7">
        <w:rPr>
          <w:lang w:val="en-US"/>
        </w:rPr>
        <w:t>/MHz for both UE and BS, and if not feasible, achievable value is requested</w:t>
      </w:r>
      <w:r w:rsidR="008E4B6E">
        <w:rPr>
          <w:lang w:val="en-US"/>
        </w:rPr>
        <w:t>.</w:t>
      </w:r>
    </w:p>
    <w:p w14:paraId="6D448E2E" w14:textId="69377F3F" w:rsidR="00C36BC7" w:rsidRPr="008E4B6E" w:rsidRDefault="00C36BC7" w:rsidP="00423B52">
      <w:pPr>
        <w:pStyle w:val="ListParagraph"/>
        <w:numPr>
          <w:ilvl w:val="0"/>
          <w:numId w:val="31"/>
        </w:numPr>
        <w:jc w:val="both"/>
        <w:rPr>
          <w:lang w:val="en-US"/>
        </w:rPr>
      </w:pPr>
      <w:r w:rsidRPr="008E4B6E">
        <w:rPr>
          <w:lang w:val="en-US"/>
        </w:rPr>
        <w:t xml:space="preserve">Additional spurious </w:t>
      </w:r>
      <w:r w:rsidR="008E4B6E" w:rsidRPr="008E4B6E">
        <w:rPr>
          <w:lang w:val="en-US"/>
        </w:rPr>
        <w:t>emission requirements:</w:t>
      </w:r>
      <w:r w:rsidR="008E4B6E">
        <w:rPr>
          <w:lang w:val="en-US"/>
        </w:rPr>
        <w:t xml:space="preserve"> </w:t>
      </w:r>
      <w:r w:rsidRPr="008E4B6E">
        <w:rPr>
          <w:lang w:val="en-US"/>
        </w:rPr>
        <w:t>ITU-R requests information regarding feasibility of more stringent limits to protect specific sensitive services</w:t>
      </w:r>
      <w:r w:rsidR="008E4B6E">
        <w:rPr>
          <w:lang w:val="en-US"/>
        </w:rPr>
        <w:t>.</w:t>
      </w:r>
    </w:p>
    <w:p w14:paraId="7A0F72AB" w14:textId="7021716C" w:rsidR="00C36BC7" w:rsidRPr="00C36BC7" w:rsidRDefault="00C36BC7" w:rsidP="00C36BC7">
      <w:pPr>
        <w:jc w:val="both"/>
        <w:rPr>
          <w:lang w:val="en-US"/>
        </w:rPr>
      </w:pPr>
      <w:r>
        <w:rPr>
          <w:lang w:val="en-US"/>
        </w:rPr>
        <w:t>Regarding the protection of passive services (e.g. EESS passive), o</w:t>
      </w:r>
      <w:r w:rsidRPr="00C36BC7">
        <w:rPr>
          <w:lang w:val="en-US"/>
        </w:rPr>
        <w:t xml:space="preserve">ne of </w:t>
      </w:r>
      <w:r>
        <w:rPr>
          <w:lang w:val="en-US"/>
        </w:rPr>
        <w:t>ITU-R</w:t>
      </w:r>
      <w:r w:rsidRPr="00C36BC7">
        <w:rPr>
          <w:lang w:val="en-US"/>
        </w:rPr>
        <w:t xml:space="preserve"> proposals is to increase reference bandwidth</w:t>
      </w:r>
      <w:r>
        <w:rPr>
          <w:lang w:val="en-US"/>
        </w:rPr>
        <w:t>. An example is given by the following list</w:t>
      </w:r>
      <w:r w:rsidR="008E4B6E">
        <w:rPr>
          <w:lang w:val="en-US"/>
        </w:rPr>
        <w:t xml:space="preserve"> which shows band of operation of passive services and corresponding reference bandwidth to be studies</w:t>
      </w:r>
      <w:r>
        <w:rPr>
          <w:lang w:val="en-US"/>
        </w:rPr>
        <w:t>:</w:t>
      </w:r>
      <w:r w:rsidRPr="00C36BC7">
        <w:rPr>
          <w:lang w:val="en-US"/>
        </w:rPr>
        <w:t xml:space="preserve"> </w:t>
      </w:r>
    </w:p>
    <w:p w14:paraId="7E123092" w14:textId="77777777" w:rsidR="00C36BC7" w:rsidRPr="00C36BC7" w:rsidRDefault="00C36BC7" w:rsidP="00C36BC7">
      <w:pPr>
        <w:ind w:left="3408"/>
        <w:jc w:val="both"/>
        <w:rPr>
          <w:lang w:val="en-US"/>
        </w:rPr>
      </w:pPr>
      <w:r w:rsidRPr="00C36BC7">
        <w:rPr>
          <w:lang w:val="en-US"/>
        </w:rPr>
        <w:t>23.6-24 GHz -&gt; 200MHz</w:t>
      </w:r>
      <w:r w:rsidRPr="00C36BC7">
        <w:rPr>
          <w:rFonts w:ascii="MS Mincho" w:eastAsia="MS Mincho" w:hAnsi="MS Mincho" w:cs="MS Mincho" w:hint="eastAsia"/>
          <w:lang w:val="en-US"/>
        </w:rPr>
        <w:t xml:space="preserve">　</w:t>
      </w:r>
    </w:p>
    <w:p w14:paraId="1ADE45A1" w14:textId="77777777" w:rsidR="00C36BC7" w:rsidRPr="00C36BC7" w:rsidRDefault="00C36BC7" w:rsidP="00C36BC7">
      <w:pPr>
        <w:ind w:left="3408"/>
        <w:jc w:val="both"/>
        <w:rPr>
          <w:lang w:val="en-US"/>
        </w:rPr>
      </w:pPr>
      <w:r w:rsidRPr="00C36BC7">
        <w:rPr>
          <w:lang w:val="en-US"/>
        </w:rPr>
        <w:t>31.3-31.8 GHz -&gt; 200MHz</w:t>
      </w:r>
    </w:p>
    <w:p w14:paraId="5C21FD3D" w14:textId="77777777" w:rsidR="00C36BC7" w:rsidRPr="00C36BC7" w:rsidRDefault="00C36BC7" w:rsidP="00C36BC7">
      <w:pPr>
        <w:ind w:left="3408"/>
        <w:jc w:val="both"/>
        <w:rPr>
          <w:lang w:val="en-US"/>
        </w:rPr>
      </w:pPr>
      <w:r w:rsidRPr="00C36BC7">
        <w:rPr>
          <w:lang w:val="en-US"/>
        </w:rPr>
        <w:t>50.2-50.4 GHz -&gt; 200MHz</w:t>
      </w:r>
    </w:p>
    <w:p w14:paraId="1EFCFF81" w14:textId="77777777" w:rsidR="00C36BC7" w:rsidRPr="00C36BC7" w:rsidRDefault="00C36BC7" w:rsidP="00C36BC7">
      <w:pPr>
        <w:ind w:left="3408"/>
        <w:jc w:val="both"/>
        <w:rPr>
          <w:lang w:val="en-US"/>
        </w:rPr>
      </w:pPr>
      <w:r w:rsidRPr="00C36BC7">
        <w:rPr>
          <w:lang w:val="en-US"/>
        </w:rPr>
        <w:t>52.6-54.25 GHz -&gt; 100MHz</w:t>
      </w:r>
    </w:p>
    <w:p w14:paraId="5A2C9B3F" w14:textId="6AE2B261" w:rsidR="00C36BC7" w:rsidRDefault="00C36BC7" w:rsidP="00C36BC7">
      <w:pPr>
        <w:ind w:left="3408"/>
        <w:jc w:val="both"/>
        <w:rPr>
          <w:lang w:val="en-US"/>
        </w:rPr>
      </w:pPr>
      <w:r w:rsidRPr="00C36BC7">
        <w:rPr>
          <w:lang w:val="en-US"/>
        </w:rPr>
        <w:t>86-92 GHz -&gt; 100MHz</w:t>
      </w:r>
    </w:p>
    <w:p w14:paraId="2364BA17" w14:textId="66A3FFB2" w:rsidR="00667A48" w:rsidRDefault="00C36BC7" w:rsidP="00983939">
      <w:pPr>
        <w:jc w:val="both"/>
        <w:rPr>
          <w:lang w:val="en-US"/>
        </w:rPr>
      </w:pPr>
      <w:r>
        <w:rPr>
          <w:lang w:val="en-US"/>
        </w:rPr>
        <w:t xml:space="preserve">In the following we </w:t>
      </w:r>
      <w:r w:rsidR="008E4B6E">
        <w:rPr>
          <w:lang w:val="en-US"/>
        </w:rPr>
        <w:t xml:space="preserve">will </w:t>
      </w:r>
      <w:r>
        <w:rPr>
          <w:lang w:val="en-US"/>
        </w:rPr>
        <w:t xml:space="preserve">only focus UE characteristics. The main issue </w:t>
      </w:r>
      <w:r w:rsidR="00B659A7">
        <w:rPr>
          <w:lang w:val="en-US"/>
        </w:rPr>
        <w:t xml:space="preserve">which </w:t>
      </w:r>
      <w:r>
        <w:rPr>
          <w:lang w:val="en-US"/>
        </w:rPr>
        <w:t>need</w:t>
      </w:r>
      <w:r w:rsidR="00B659A7">
        <w:rPr>
          <w:lang w:val="en-US"/>
        </w:rPr>
        <w:t>s</w:t>
      </w:r>
      <w:r>
        <w:rPr>
          <w:lang w:val="en-US"/>
        </w:rPr>
        <w:t xml:space="preserve"> to be solve</w:t>
      </w:r>
      <w:r w:rsidR="00B659A7">
        <w:rPr>
          <w:lang w:val="en-US"/>
        </w:rPr>
        <w:t>d</w:t>
      </w:r>
      <w:r>
        <w:rPr>
          <w:lang w:val="en-US"/>
        </w:rPr>
        <w:t xml:space="preserve"> when running the sharing study is to understand the total interferer power in large amount of spectrum, hence the proposal of increasing the reference bandwidth. In particular, in case of interference to EESS passive services the total interference seen at the EESS sensor will be the one driving the outcome of the sharing study. Since EESS system</w:t>
      </w:r>
      <w:r w:rsidR="00B659A7">
        <w:rPr>
          <w:lang w:val="en-US"/>
        </w:rPr>
        <w:t>s</w:t>
      </w:r>
      <w:r>
        <w:rPr>
          <w:lang w:val="en-US"/>
        </w:rPr>
        <w:t xml:space="preserve"> cover a large geographical area, each BS and UE belonging to the area of coverage will contribute to the total interference seen at the satellite. </w:t>
      </w:r>
    </w:p>
    <w:p w14:paraId="6D94FA9B" w14:textId="4F9E1987" w:rsidR="006238EC" w:rsidRDefault="006238EC" w:rsidP="002854AA">
      <w:pPr>
        <w:jc w:val="both"/>
        <w:rPr>
          <w:lang w:val="en-US"/>
        </w:rPr>
      </w:pPr>
      <w:r>
        <w:rPr>
          <w:lang w:val="en-US"/>
        </w:rPr>
        <w:t>The main question is how to account for UE unwanted emission contribution to</w:t>
      </w:r>
      <w:r w:rsidR="00C24715">
        <w:rPr>
          <w:lang w:val="en-US"/>
        </w:rPr>
        <w:t xml:space="preserve"> the</w:t>
      </w:r>
      <w:r>
        <w:rPr>
          <w:lang w:val="en-US"/>
        </w:rPr>
        <w:t xml:space="preserve"> cumulative interference. The easiest way would be to integrate the UE spurious emission requirement over the EESS victim band. </w:t>
      </w:r>
      <w:r w:rsidR="00C24715">
        <w:rPr>
          <w:lang w:val="en-US"/>
        </w:rPr>
        <w:t>If we take as an example EESS operating on 23.6-24 GHz</w:t>
      </w:r>
      <w:r w:rsidR="00B659A7">
        <w:rPr>
          <w:lang w:val="en-US"/>
        </w:rPr>
        <w:t>,</w:t>
      </w:r>
      <w:r w:rsidR="00C24715">
        <w:rPr>
          <w:lang w:val="en-US"/>
        </w:rPr>
        <w:t xml:space="preserve"> and considering a sensor BW of 200MHz, integrating the -13dBm/MHz spurious requirement would lead to a total interferer power from a single UE of 10dBm. Since we believe this assumption is overly pessimistic, in the following section we provide clarification</w:t>
      </w:r>
      <w:r w:rsidR="00B659A7">
        <w:rPr>
          <w:lang w:val="en-US"/>
        </w:rPr>
        <w:t>s</w:t>
      </w:r>
      <w:r w:rsidR="00C24715">
        <w:rPr>
          <w:lang w:val="en-US"/>
        </w:rPr>
        <w:t xml:space="preserve"> on how to account for UE contributions to the cumulative interference calculated in the sharing study. </w:t>
      </w:r>
    </w:p>
    <w:p w14:paraId="5064F66D" w14:textId="6B51E2F2" w:rsidR="00FA241B" w:rsidRDefault="00C36BC7" w:rsidP="002854AA">
      <w:pPr>
        <w:pStyle w:val="Heading2"/>
        <w:jc w:val="both"/>
        <w:rPr>
          <w:lang w:val="en-US"/>
        </w:rPr>
      </w:pPr>
      <w:r>
        <w:rPr>
          <w:lang w:val="en-US"/>
        </w:rPr>
        <w:lastRenderedPageBreak/>
        <w:t>UE unwanted emission in mmW</w:t>
      </w:r>
      <w:r w:rsidR="00F30DEB">
        <w:rPr>
          <w:lang w:val="en-US"/>
        </w:rPr>
        <w:t xml:space="preserve"> </w:t>
      </w:r>
    </w:p>
    <w:p w14:paraId="43A53EE7" w14:textId="4ED9B9DF" w:rsidR="00587536" w:rsidRDefault="00587536" w:rsidP="002854AA">
      <w:pPr>
        <w:jc w:val="both"/>
        <w:rPr>
          <w:lang w:val="en-US"/>
        </w:rPr>
      </w:pPr>
      <w:r>
        <w:rPr>
          <w:lang w:val="en-US"/>
        </w:rPr>
        <w:t>In this section we will summarize the main aspects about UE emission which could affect the ITU-R sharing study. Without loss of generality we analyze the following scenario:</w:t>
      </w:r>
    </w:p>
    <w:p w14:paraId="11BC74D5" w14:textId="0F51F420" w:rsidR="00587536" w:rsidRDefault="00587536" w:rsidP="002854AA">
      <w:pPr>
        <w:pStyle w:val="ListParagraph"/>
        <w:numPr>
          <w:ilvl w:val="0"/>
          <w:numId w:val="32"/>
        </w:numPr>
        <w:jc w:val="both"/>
        <w:rPr>
          <w:lang w:val="en-US"/>
        </w:rPr>
      </w:pPr>
      <w:r>
        <w:rPr>
          <w:lang w:val="en-US"/>
        </w:rPr>
        <w:t>UE operating in 200MHz channel centered at 24.35 GHz (i.e. lower edge of 24.25-27.5GHz band).</w:t>
      </w:r>
    </w:p>
    <w:p w14:paraId="72C871C0" w14:textId="5085B245" w:rsidR="00587536" w:rsidRPr="00587536" w:rsidRDefault="00587536" w:rsidP="002854AA">
      <w:pPr>
        <w:pStyle w:val="ListParagraph"/>
        <w:numPr>
          <w:ilvl w:val="0"/>
          <w:numId w:val="32"/>
        </w:numPr>
        <w:jc w:val="both"/>
        <w:rPr>
          <w:lang w:val="en-US"/>
        </w:rPr>
      </w:pPr>
      <w:r>
        <w:rPr>
          <w:lang w:val="en-US"/>
        </w:rPr>
        <w:t xml:space="preserve">EESS passive services in </w:t>
      </w:r>
      <w:r w:rsidRPr="00C36BC7">
        <w:rPr>
          <w:lang w:val="en-US"/>
        </w:rPr>
        <w:t>23.6-24 GHz</w:t>
      </w:r>
      <w:r>
        <w:rPr>
          <w:lang w:val="en-US"/>
        </w:rPr>
        <w:t>.</w:t>
      </w:r>
    </w:p>
    <w:p w14:paraId="3D6A42EB" w14:textId="072E7132" w:rsidR="00423B52" w:rsidRDefault="00423B52" w:rsidP="002854AA">
      <w:pPr>
        <w:jc w:val="both"/>
        <w:rPr>
          <w:lang w:val="en-US"/>
        </w:rPr>
      </w:pPr>
      <w:r w:rsidRPr="00423B52">
        <w:rPr>
          <w:lang w:val="en-US"/>
        </w:rPr>
        <w:t xml:space="preserve">Let us first consider the impact of UE out-of-band (OOB) emission </w:t>
      </w:r>
      <w:r>
        <w:rPr>
          <w:lang w:val="en-US"/>
        </w:rPr>
        <w:t xml:space="preserve">domain. This domain is characterized by two requirements, the spectrum emission mask (SEM) which is an absolute requirement, and the ACLR which is requirement relative to the in-band power. As shown in </w:t>
      </w:r>
      <w:r>
        <w:rPr>
          <w:lang w:val="en-US"/>
        </w:rPr>
        <w:fldChar w:fldCharType="begin"/>
      </w:r>
      <w:r>
        <w:rPr>
          <w:lang w:val="en-US"/>
        </w:rPr>
        <w:instrText xml:space="preserve"> REF _Ref490226677 \h </w:instrText>
      </w:r>
      <w:r w:rsidR="002854AA">
        <w:rPr>
          <w:lang w:val="en-US"/>
        </w:rPr>
        <w:instrText xml:space="preserve"> \* MERGEFORMAT </w:instrText>
      </w:r>
      <w:r>
        <w:rPr>
          <w:lang w:val="en-US"/>
        </w:rPr>
      </w:r>
      <w:r>
        <w:rPr>
          <w:lang w:val="en-US"/>
        </w:rPr>
        <w:fldChar w:fldCharType="separate"/>
      </w:r>
      <w:r w:rsidR="00D822E4">
        <w:t xml:space="preserve">Figure </w:t>
      </w:r>
      <w:r w:rsidR="00D822E4">
        <w:rPr>
          <w:noProof/>
        </w:rPr>
        <w:t>1</w:t>
      </w:r>
      <w:r>
        <w:rPr>
          <w:lang w:val="en-US"/>
        </w:rPr>
        <w:fldChar w:fldCharType="end"/>
      </w:r>
      <w:r>
        <w:rPr>
          <w:lang w:val="en-US"/>
        </w:rPr>
        <w:t>, the extension of SEM is wider compared to the ACLR. In the particular case considered in the picture, UE is impacting EESS band with only its SEM requirement, however in general we can have the two following cases:</w:t>
      </w:r>
    </w:p>
    <w:p w14:paraId="3ABEADD4" w14:textId="07CA581F" w:rsidR="00423B52" w:rsidRPr="00423B52" w:rsidRDefault="00423B52" w:rsidP="002854AA">
      <w:pPr>
        <w:pStyle w:val="ListParagraph"/>
        <w:numPr>
          <w:ilvl w:val="0"/>
          <w:numId w:val="33"/>
        </w:numPr>
        <w:jc w:val="both"/>
        <w:rPr>
          <w:i/>
          <w:lang w:val="en-US"/>
        </w:rPr>
      </w:pPr>
      <w:r w:rsidRPr="00423B52">
        <w:rPr>
          <w:lang w:val="en-US"/>
        </w:rPr>
        <w:t>Firs</w:t>
      </w:r>
      <w:r>
        <w:rPr>
          <w:lang w:val="en-US"/>
        </w:rPr>
        <w:t>t ACLR region not overlapping victim band. In this case the only requirement is available is the SEM, so the SEM limit could be integrated in the overlapping region with the victim receiver band</w:t>
      </w:r>
    </w:p>
    <w:p w14:paraId="78A354B5" w14:textId="7D108C18" w:rsidR="00423B52" w:rsidRPr="00423B52" w:rsidRDefault="00423B52" w:rsidP="002854AA">
      <w:pPr>
        <w:pStyle w:val="ListParagraph"/>
        <w:numPr>
          <w:ilvl w:val="0"/>
          <w:numId w:val="33"/>
        </w:numPr>
        <w:jc w:val="both"/>
        <w:rPr>
          <w:i/>
          <w:lang w:val="en-US"/>
        </w:rPr>
      </w:pPr>
      <w:r>
        <w:rPr>
          <w:lang w:val="en-US"/>
        </w:rPr>
        <w:t>First ACLR region overlapping with the victim band. In this case both ACLR and SEM requirement apply in the</w:t>
      </w:r>
      <w:r w:rsidR="00292C3A">
        <w:rPr>
          <w:lang w:val="en-US"/>
        </w:rPr>
        <w:t xml:space="preserve"> region of ACLR overlapping. As a consequence, in this region the minimum of the two requirements should be considered. If we assume for instance 200MHz channel bandwidth, emission driven by ACLR in the adjacent channel will be </w:t>
      </w:r>
      <w:r w:rsidR="00BC6ED6">
        <w:rPr>
          <w:lang w:val="en-US"/>
        </w:rPr>
        <w:t xml:space="preserve">23dBm (max UE TRP) – 17dBc (UE ACLR) = 6dBm, while considering SEM emission only would lead to 10dBm (given by the integration of -13dBm/MHz over 200MHz). Another relevant factor is that since ACLR requirement is a relative requirement, the emission power in the ACLR region should be scale based on UE power control. </w:t>
      </w:r>
    </w:p>
    <w:p w14:paraId="39C20A6D" w14:textId="3BCC7870" w:rsidR="00392B04" w:rsidRDefault="00392B04" w:rsidP="002854AA">
      <w:pPr>
        <w:jc w:val="both"/>
        <w:rPr>
          <w:lang w:val="en-US"/>
        </w:rPr>
      </w:pPr>
    </w:p>
    <w:p w14:paraId="166DAB7E" w14:textId="77777777" w:rsidR="00392B04" w:rsidRDefault="00392B04" w:rsidP="00EC65BD">
      <w:pPr>
        <w:keepNext/>
        <w:jc w:val="center"/>
      </w:pPr>
      <w:r>
        <w:rPr>
          <w:noProof/>
          <w:lang w:val="en-US"/>
        </w:rPr>
        <w:drawing>
          <wp:inline distT="0" distB="0" distL="0" distR="0" wp14:anchorId="3D0C6C55" wp14:editId="38335D52">
            <wp:extent cx="4756869" cy="14859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9814" cy="1486820"/>
                    </a:xfrm>
                    <a:prstGeom prst="rect">
                      <a:avLst/>
                    </a:prstGeom>
                    <a:noFill/>
                  </pic:spPr>
                </pic:pic>
              </a:graphicData>
            </a:graphic>
          </wp:inline>
        </w:drawing>
      </w:r>
    </w:p>
    <w:p w14:paraId="2E352998" w14:textId="01C8E3D6" w:rsidR="00392B04" w:rsidRDefault="00392B04" w:rsidP="00EC65BD">
      <w:pPr>
        <w:pStyle w:val="Caption"/>
        <w:jc w:val="center"/>
      </w:pPr>
      <w:bookmarkStart w:id="1" w:name="_Ref490226677"/>
      <w:r>
        <w:t xml:space="preserve">Figure </w:t>
      </w:r>
      <w:r>
        <w:fldChar w:fldCharType="begin"/>
      </w:r>
      <w:r>
        <w:instrText xml:space="preserve"> SEQ Figure \* ARABIC </w:instrText>
      </w:r>
      <w:r>
        <w:fldChar w:fldCharType="separate"/>
      </w:r>
      <w:r w:rsidR="00D822E4">
        <w:rPr>
          <w:noProof/>
        </w:rPr>
        <w:t>1</w:t>
      </w:r>
      <w:r>
        <w:fldChar w:fldCharType="end"/>
      </w:r>
      <w:bookmarkEnd w:id="1"/>
      <w:r>
        <w:t>. UE SEM and ACLR impacting passive services</w:t>
      </w:r>
    </w:p>
    <w:p w14:paraId="45B40BCA" w14:textId="77777777" w:rsidR="00BC6ED6" w:rsidRDefault="00BC6ED6" w:rsidP="002854AA">
      <w:pPr>
        <w:jc w:val="both"/>
        <w:rPr>
          <w:b/>
          <w:i/>
        </w:rPr>
      </w:pPr>
      <w:r w:rsidRPr="00BC6ED6">
        <w:rPr>
          <w:b/>
          <w:i/>
        </w:rPr>
        <w:t>Observation 1</w:t>
      </w:r>
      <w:r>
        <w:rPr>
          <w:b/>
          <w:i/>
        </w:rPr>
        <w:t>: When considering the impact of UE in out-of-band domain, if the receiver victim bandwidth overlaps with UE ACLR region, both UE ACLR and SEM should be taken into account.</w:t>
      </w:r>
    </w:p>
    <w:p w14:paraId="4F21F88D" w14:textId="77777777" w:rsidR="00BC6ED6" w:rsidRDefault="00BC6ED6" w:rsidP="002854AA">
      <w:pPr>
        <w:jc w:val="both"/>
        <w:rPr>
          <w:b/>
          <w:i/>
        </w:rPr>
      </w:pPr>
      <w:r>
        <w:rPr>
          <w:b/>
          <w:i/>
        </w:rPr>
        <w:t>Observation 2: UE unwanted emissions should be scaled based on UE power control, i.e. actual UE transmitted power should be taken into account.</w:t>
      </w:r>
    </w:p>
    <w:p w14:paraId="53998389" w14:textId="02DF206B" w:rsidR="00BC6ED6" w:rsidRPr="00BC6ED6" w:rsidRDefault="00BC6ED6" w:rsidP="002854AA">
      <w:pPr>
        <w:jc w:val="both"/>
      </w:pPr>
      <w:r w:rsidRPr="00BC6ED6">
        <w:t xml:space="preserve">Let </w:t>
      </w:r>
      <w:r>
        <w:t>us now focus on the spurious emission domain</w:t>
      </w:r>
      <w:r w:rsidR="00916444">
        <w:t xml:space="preserve">. The spurious emission requirement is an absolute requirement that UE needs to meet. However this does not mean that </w:t>
      </w:r>
      <w:r w:rsidR="004F7250">
        <w:t>UE emission is flat in the entire spurious emission domain. This is quite obvious since this would imply that most of the UE power will be wasted as unwanted leakage. If we consider a maximum TRP of 23dBm, integrating the -13dBm/MHz level over the passive band (400MHz) would mean that the ratio between leakage in the passive band and TRP is about 10%, which</w:t>
      </w:r>
      <w:r w:rsidR="00E8635D">
        <w:t xml:space="preserve"> is</w:t>
      </w:r>
      <w:r w:rsidR="004F7250">
        <w:t xml:space="preserve"> an unrealistic assumption.  </w:t>
      </w:r>
    </w:p>
    <w:p w14:paraId="61EE74B5" w14:textId="7927F149" w:rsidR="004F7250" w:rsidRDefault="004F7250" w:rsidP="002854AA">
      <w:pPr>
        <w:jc w:val="both"/>
        <w:rPr>
          <w:b/>
          <w:i/>
        </w:rPr>
      </w:pPr>
      <w:r>
        <w:rPr>
          <w:b/>
          <w:i/>
        </w:rPr>
        <w:t>Observation 3: UE spurious emission response is not flat.</w:t>
      </w:r>
    </w:p>
    <w:p w14:paraId="75C18948" w14:textId="5E5BCBF6" w:rsidR="00BC6ED6" w:rsidRDefault="00E8635D" w:rsidP="002854AA">
      <w:pPr>
        <w:jc w:val="both"/>
      </w:pPr>
      <w:r>
        <w:t>T</w:t>
      </w:r>
      <w:r w:rsidR="004F7250">
        <w:t xml:space="preserve">he </w:t>
      </w:r>
      <w:r>
        <w:t xml:space="preserve">main </w:t>
      </w:r>
      <w:r w:rsidR="004F7250">
        <w:t xml:space="preserve">question </w:t>
      </w:r>
      <w:r w:rsidR="00214058">
        <w:t xml:space="preserve">is how to account from the non-flat UE emission in the spurious domain. If we consider a typical UE </w:t>
      </w:r>
      <w:proofErr w:type="spellStart"/>
      <w:r w:rsidR="00214058">
        <w:t>tx</w:t>
      </w:r>
      <w:proofErr w:type="spellEnd"/>
      <w:r w:rsidR="00214058">
        <w:t xml:space="preserve"> architecture </w:t>
      </w:r>
      <w:r w:rsidR="004640B1">
        <w:t xml:space="preserve">for UE transmitting in the 28GHz frequency range there are several </w:t>
      </w:r>
      <w:proofErr w:type="spellStart"/>
      <w:r w:rsidR="004640B1">
        <w:t>tx</w:t>
      </w:r>
      <w:proofErr w:type="spellEnd"/>
      <w:r w:rsidR="004640B1">
        <w:t xml:space="preserve"> responses for both IF and RF stages which all need to meet the general spurious emission requirement defined in the spec</w:t>
      </w:r>
      <w:r w:rsidR="00905436">
        <w:t>.</w:t>
      </w:r>
    </w:p>
    <w:p w14:paraId="0605832F" w14:textId="4736CA7B" w:rsidR="00C915BD" w:rsidRDefault="00C915BD" w:rsidP="002854AA">
      <w:pPr>
        <w:jc w:val="both"/>
      </w:pPr>
      <w:r>
        <w:t>One of the requirement driving the discussion about spurious emission limit was the second harmonic response of PA, especially in the case of narrow band allocation. By looking at the</w:t>
      </w:r>
      <w:r w:rsidR="002854AA">
        <w:t xml:space="preserve"> frequency </w:t>
      </w:r>
      <w:proofErr w:type="spellStart"/>
      <w:r w:rsidR="002854AA">
        <w:t>alloca</w:t>
      </w:r>
      <w:r w:rsidR="00D822E4">
        <w:t>u</w:t>
      </w:r>
      <w:proofErr w:type="spellEnd"/>
      <w:r w:rsidR="00D822E4">
        <w:t xml:space="preserve"> </w:t>
      </w:r>
      <w:proofErr w:type="spellStart"/>
      <w:r w:rsidR="00D822E4">
        <w:t>too</w:t>
      </w:r>
      <w:r w:rsidR="002854AA">
        <w:t>tion</w:t>
      </w:r>
      <w:proofErr w:type="spellEnd"/>
      <w:r w:rsidR="002854AA">
        <w:t xml:space="preserve"> of passive services it can be noted that for the proposed NR mmW bands no second harmonic falls into EESS passive bands.</w:t>
      </w:r>
    </w:p>
    <w:p w14:paraId="45EB6314" w14:textId="41DA4FBE" w:rsidR="002854AA" w:rsidRDefault="002854AA" w:rsidP="002854AA">
      <w:pPr>
        <w:jc w:val="both"/>
        <w:rPr>
          <w:b/>
          <w:i/>
        </w:rPr>
      </w:pPr>
      <w:r w:rsidRPr="002854AA">
        <w:rPr>
          <w:b/>
          <w:i/>
        </w:rPr>
        <w:t>Observation 4:</w:t>
      </w:r>
      <w:r>
        <w:rPr>
          <w:b/>
          <w:i/>
        </w:rPr>
        <w:t xml:space="preserve"> for the defined NR mmW bands </w:t>
      </w:r>
      <w:r w:rsidRPr="002854AA">
        <w:rPr>
          <w:b/>
          <w:i/>
        </w:rPr>
        <w:t>no second harmonic falls into EESS passive band</w:t>
      </w:r>
      <w:r>
        <w:rPr>
          <w:b/>
          <w:i/>
        </w:rPr>
        <w:t>.</w:t>
      </w:r>
    </w:p>
    <w:p w14:paraId="0C660F17" w14:textId="24078218" w:rsidR="00A82624" w:rsidRDefault="00300ADF" w:rsidP="00E94003">
      <w:pPr>
        <w:jc w:val="both"/>
      </w:pPr>
      <w:r>
        <w:lastRenderedPageBreak/>
        <w:t>As already mentioned, t</w:t>
      </w:r>
      <w:r w:rsidR="00A8508E">
        <w:t xml:space="preserve">he shape of the emission into passive bands is strongly dependent on implementation choices, in particular related to the frequency planning of IF and RF local oscillators. </w:t>
      </w:r>
      <w:r w:rsidR="00E94003">
        <w:t xml:space="preserve">Because of the design flexibility it is almost impossible to generalize the specific emission pattern on a victim frequency band falling into UE spurious domain. </w:t>
      </w:r>
    </w:p>
    <w:p w14:paraId="21F5EC36" w14:textId="735D84DA" w:rsidR="00A82624" w:rsidRDefault="00A82624" w:rsidP="00E94003">
      <w:pPr>
        <w:jc w:val="both"/>
      </w:pPr>
      <w:r>
        <w:fldChar w:fldCharType="begin"/>
      </w:r>
      <w:r>
        <w:instrText xml:space="preserve"> REF _Ref490248370 \h </w:instrText>
      </w:r>
      <w:r>
        <w:fldChar w:fldCharType="separate"/>
      </w:r>
      <w:r w:rsidR="00D822E4" w:rsidRPr="00E8635D">
        <w:t xml:space="preserve">Figure </w:t>
      </w:r>
      <w:r w:rsidR="00D822E4">
        <w:rPr>
          <w:noProof/>
        </w:rPr>
        <w:t>2</w:t>
      </w:r>
      <w:r>
        <w:fldChar w:fldCharType="end"/>
      </w:r>
      <w:r>
        <w:t xml:space="preserve"> shows a pictorial representation of typical transmitter responses in RF domain</w:t>
      </w:r>
      <w:r w:rsidR="00300ADF">
        <w:t>, where</w:t>
      </w:r>
      <w:r>
        <w:t xml:space="preserve"> </w:t>
      </w:r>
      <w:r w:rsidR="00300ADF">
        <w:t>t</w:t>
      </w:r>
      <w:r>
        <w:t>he location of some of the intermodulation products is a direct function of IF and RF LO location. A quantification of the total emission over a large amount of spectrum will depend on UE channel BW, LO frequency plan and victim receiver BW position relative to the aggressor channel BW. What can be noted</w:t>
      </w:r>
      <w:r w:rsidR="00300ADF">
        <w:t>,</w:t>
      </w:r>
      <w:r>
        <w:t xml:space="preserve"> however</w:t>
      </w:r>
      <w:r w:rsidR="00300ADF">
        <w:t>,</w:t>
      </w:r>
      <w:r>
        <w:t xml:space="preserve"> is that the emission distribution i</w:t>
      </w:r>
      <w:r w:rsidR="00E8635D">
        <w:t>s</w:t>
      </w:r>
      <w:r>
        <w:t xml:space="preserve"> strongly not uniform and sparse in the frequency domain. Since all the unwanted prod</w:t>
      </w:r>
      <w:r w:rsidR="00E8635D">
        <w:t>ucts needs to meet the -13dBm/MHz specification, it is natural to expect that when considering a large resolution/integration BW the</w:t>
      </w:r>
      <w:r w:rsidR="00991DC7">
        <w:t xml:space="preserve"> average</w:t>
      </w:r>
      <w:r w:rsidR="00E8635D">
        <w:t xml:space="preserve"> emission level will be lower compared to -13dBm. As a consequence, </w:t>
      </w:r>
      <w:r w:rsidR="00300ADF">
        <w:t xml:space="preserve">since the total integrated interference over a large BW is the metric driving the sharing study with passive services, </w:t>
      </w:r>
      <w:r w:rsidR="00E8635D">
        <w:t xml:space="preserve">an additional requirement </w:t>
      </w:r>
      <w:r w:rsidR="00300ADF">
        <w:t xml:space="preserve">with large resolution BW </w:t>
      </w:r>
      <w:r w:rsidR="00E8635D">
        <w:t>could be derived only for the passive bands.</w:t>
      </w:r>
    </w:p>
    <w:p w14:paraId="6F1BE7FE" w14:textId="06BA50C5" w:rsidR="00A82624" w:rsidRDefault="00E8635D" w:rsidP="00E94003">
      <w:pPr>
        <w:jc w:val="both"/>
      </w:pPr>
      <w:r w:rsidRPr="002854AA">
        <w:rPr>
          <w:b/>
          <w:i/>
        </w:rPr>
        <w:t xml:space="preserve">Observation </w:t>
      </w:r>
      <w:r>
        <w:rPr>
          <w:b/>
          <w:i/>
        </w:rPr>
        <w:t>5: an additional spurious emission requirement with higher resolution BW could be derived to protect passive bands.</w:t>
      </w:r>
    </w:p>
    <w:p w14:paraId="4317C050" w14:textId="4F80B4F0" w:rsidR="007C262D" w:rsidRDefault="0057103C" w:rsidP="007C262D">
      <w:pPr>
        <w:keepNext/>
      </w:pPr>
      <w:bookmarkStart w:id="2" w:name="_GoBack"/>
      <w:r>
        <w:rPr>
          <w:noProof/>
          <w:lang w:val="en-US"/>
        </w:rPr>
        <w:drawing>
          <wp:inline distT="0" distB="0" distL="0" distR="0" wp14:anchorId="17AA3C99" wp14:editId="577A226C">
            <wp:extent cx="6115685" cy="124430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1244309"/>
                    </a:xfrm>
                    <a:prstGeom prst="rect">
                      <a:avLst/>
                    </a:prstGeom>
                    <a:noFill/>
                  </pic:spPr>
                </pic:pic>
              </a:graphicData>
            </a:graphic>
          </wp:inline>
        </w:drawing>
      </w:r>
      <w:bookmarkEnd w:id="2"/>
    </w:p>
    <w:p w14:paraId="1D728DE9" w14:textId="253A2175" w:rsidR="003D4822" w:rsidRPr="00E8635D" w:rsidRDefault="007C262D" w:rsidP="00991D80">
      <w:pPr>
        <w:pStyle w:val="Caption"/>
        <w:jc w:val="center"/>
      </w:pPr>
      <w:bookmarkStart w:id="3" w:name="_Ref490248370"/>
      <w:r w:rsidRPr="00E8635D">
        <w:t xml:space="preserve">Figure </w:t>
      </w:r>
      <w:r w:rsidRPr="00E8635D">
        <w:fldChar w:fldCharType="begin"/>
      </w:r>
      <w:r w:rsidRPr="00E8635D">
        <w:instrText xml:space="preserve"> SEQ Figure \* ARABIC </w:instrText>
      </w:r>
      <w:r w:rsidRPr="00E8635D">
        <w:fldChar w:fldCharType="separate"/>
      </w:r>
      <w:r w:rsidR="00D822E4">
        <w:rPr>
          <w:noProof/>
        </w:rPr>
        <w:t>2</w:t>
      </w:r>
      <w:r w:rsidRPr="00E8635D">
        <w:fldChar w:fldCharType="end"/>
      </w:r>
      <w:bookmarkEnd w:id="3"/>
      <w:r w:rsidRPr="00E8635D">
        <w:t xml:space="preserve">. Pictorial representation of typical transmitter </w:t>
      </w:r>
      <w:r w:rsidR="00991D80" w:rsidRPr="00E8635D">
        <w:t xml:space="preserve">RF </w:t>
      </w:r>
      <w:r w:rsidRPr="00E8635D">
        <w:t>responses.</w:t>
      </w:r>
    </w:p>
    <w:p w14:paraId="063851BA" w14:textId="3A9BAADD" w:rsidR="00A82624" w:rsidRDefault="00E8635D" w:rsidP="00E8635D">
      <w:pPr>
        <w:jc w:val="both"/>
      </w:pPr>
      <w:r>
        <w:t xml:space="preserve">RAN4 needs to discuss what would be the level for the additional requirement. One possibility would be to derive the additional </w:t>
      </w:r>
      <w:r w:rsidR="00300ADF">
        <w:t>emission level</w:t>
      </w:r>
      <w:r>
        <w:t xml:space="preserve"> for the passive band as if the emission on that band would be -30dBm/MHz on average</w:t>
      </w:r>
      <w:r w:rsidR="00300ADF">
        <w:t xml:space="preserve"> (instead of -13dBm/MHz)</w:t>
      </w:r>
      <w:r>
        <w:t>. The integration of that level would bring to -7dBm/200MHz or -10dBm/100MHz, thus leading to 17dB lower interfe</w:t>
      </w:r>
      <w:r w:rsidR="00300ADF">
        <w:t>rence compared to the -13dBm/MHz</w:t>
      </w:r>
      <w:r>
        <w:t xml:space="preserve"> baseline requirement. </w:t>
      </w:r>
    </w:p>
    <w:p w14:paraId="5095E5C1" w14:textId="1C534171" w:rsidR="00E8635D" w:rsidRPr="00300ADF" w:rsidRDefault="00300ADF" w:rsidP="00BC6ED6">
      <w:r w:rsidRPr="00300ADF">
        <w:t>We i</w:t>
      </w:r>
      <w:r>
        <w:t>nvite companies to discuss the additional requirement to protect EESS passive services and</w:t>
      </w:r>
      <w:r w:rsidR="00991DC7">
        <w:t xml:space="preserve"> provide a timely reply to ITU</w:t>
      </w:r>
      <w:r>
        <w:t>-R.</w:t>
      </w:r>
    </w:p>
    <w:p w14:paraId="10B5C1B2" w14:textId="7A9D178C" w:rsidR="004640B1" w:rsidRPr="004640B1" w:rsidRDefault="00300ADF" w:rsidP="00BC6ED6">
      <w:pPr>
        <w:rPr>
          <w:b/>
          <w:i/>
        </w:rPr>
      </w:pPr>
      <w:r w:rsidRPr="002854AA">
        <w:rPr>
          <w:b/>
          <w:i/>
        </w:rPr>
        <w:t xml:space="preserve">Observation </w:t>
      </w:r>
      <w:r>
        <w:rPr>
          <w:b/>
          <w:i/>
        </w:rPr>
        <w:t>5</w:t>
      </w:r>
      <w:r w:rsidR="004640B1" w:rsidRPr="00E8635D">
        <w:rPr>
          <w:b/>
          <w:i/>
        </w:rPr>
        <w:t xml:space="preserve">: </w:t>
      </w:r>
      <w:r>
        <w:rPr>
          <w:b/>
          <w:i/>
        </w:rPr>
        <w:t>RAN4 should discuss the additional requirements to protect EESS passive services and provide a reply to ITU-R in RAN4 #84.</w:t>
      </w:r>
    </w:p>
    <w:p w14:paraId="12D236E7" w14:textId="77777777" w:rsidR="00BC6ED6" w:rsidRPr="00BC6ED6" w:rsidRDefault="00BC6ED6" w:rsidP="00BC6ED6"/>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18BB4CF" w14:textId="1EBB9FE9" w:rsidR="00C24715" w:rsidRDefault="00F35409" w:rsidP="00C24715">
      <w:pPr>
        <w:jc w:val="both"/>
        <w:rPr>
          <w:b/>
          <w:i/>
          <w:lang w:val="en-US"/>
        </w:rPr>
      </w:pPr>
      <w:r>
        <w:rPr>
          <w:lang w:val="en-US"/>
        </w:rPr>
        <w:t>In this contribution</w:t>
      </w:r>
      <w:r w:rsidR="00134379">
        <w:rPr>
          <w:lang w:val="en-US"/>
        </w:rPr>
        <w:t xml:space="preserve"> we provide </w:t>
      </w:r>
      <w:r w:rsidR="009909A7">
        <w:rPr>
          <w:lang w:val="en-US"/>
        </w:rPr>
        <w:t>the following general observations about the UE emission characteristics in mmW sharing study:</w:t>
      </w:r>
    </w:p>
    <w:p w14:paraId="1DF52962" w14:textId="77777777" w:rsidR="009909A7" w:rsidRDefault="009909A7" w:rsidP="009909A7">
      <w:pPr>
        <w:jc w:val="both"/>
        <w:rPr>
          <w:b/>
          <w:i/>
        </w:rPr>
      </w:pPr>
      <w:r w:rsidRPr="00BC6ED6">
        <w:rPr>
          <w:b/>
          <w:i/>
        </w:rPr>
        <w:t>Observation 1</w:t>
      </w:r>
      <w:r>
        <w:rPr>
          <w:b/>
          <w:i/>
        </w:rPr>
        <w:t>: When considering the impact of UE in out-of-band domain, if the receiver victim bandwidth overlaps with UE ACLR region, both UE ACLR and SEM should be taken into account.</w:t>
      </w:r>
    </w:p>
    <w:p w14:paraId="61415B55" w14:textId="77777777" w:rsidR="009909A7" w:rsidRDefault="009909A7" w:rsidP="009909A7">
      <w:pPr>
        <w:jc w:val="both"/>
        <w:rPr>
          <w:b/>
          <w:i/>
        </w:rPr>
      </w:pPr>
      <w:r>
        <w:rPr>
          <w:b/>
          <w:i/>
        </w:rPr>
        <w:t>Observation 2: UE unwanted emissions should be scaled based on UE power control, i.e. actual UE transmitted power should be taken into account.</w:t>
      </w:r>
    </w:p>
    <w:p w14:paraId="43072174" w14:textId="77777777" w:rsidR="009909A7" w:rsidRDefault="009909A7" w:rsidP="009909A7">
      <w:pPr>
        <w:jc w:val="both"/>
        <w:rPr>
          <w:b/>
          <w:i/>
        </w:rPr>
      </w:pPr>
      <w:r>
        <w:rPr>
          <w:b/>
          <w:i/>
        </w:rPr>
        <w:t>Observation 3: UE spurious emission response is not flat.</w:t>
      </w:r>
    </w:p>
    <w:p w14:paraId="75408F92" w14:textId="77777777" w:rsidR="009909A7" w:rsidRDefault="009909A7" w:rsidP="009909A7">
      <w:pPr>
        <w:jc w:val="both"/>
        <w:rPr>
          <w:b/>
          <w:i/>
        </w:rPr>
      </w:pPr>
      <w:r w:rsidRPr="002854AA">
        <w:rPr>
          <w:b/>
          <w:i/>
        </w:rPr>
        <w:t>Observation 4:</w:t>
      </w:r>
      <w:r>
        <w:rPr>
          <w:b/>
          <w:i/>
        </w:rPr>
        <w:t xml:space="preserve"> for the defined NR mmW bands </w:t>
      </w:r>
      <w:r w:rsidRPr="002854AA">
        <w:rPr>
          <w:b/>
          <w:i/>
        </w:rPr>
        <w:t>no second harmonic falls into EESS passive band</w:t>
      </w:r>
      <w:r>
        <w:rPr>
          <w:b/>
          <w:i/>
        </w:rPr>
        <w:t>.</w:t>
      </w:r>
    </w:p>
    <w:p w14:paraId="66EC86FC" w14:textId="0AE5CF05" w:rsidR="00D753D3" w:rsidRDefault="00E8635D" w:rsidP="0040474E">
      <w:pPr>
        <w:jc w:val="both"/>
        <w:rPr>
          <w:b/>
          <w:i/>
        </w:rPr>
      </w:pPr>
      <w:r w:rsidRPr="002854AA">
        <w:rPr>
          <w:b/>
          <w:i/>
        </w:rPr>
        <w:t xml:space="preserve">Observation </w:t>
      </w:r>
      <w:r>
        <w:rPr>
          <w:b/>
          <w:i/>
        </w:rPr>
        <w:t>5: an additional spurious emission requirement with higher resolution BW could be derived to protect passive bands.</w:t>
      </w:r>
    </w:p>
    <w:p w14:paraId="6B466477" w14:textId="04690C8D" w:rsidR="00300ADF" w:rsidRPr="004640B1" w:rsidRDefault="00300ADF" w:rsidP="00300ADF">
      <w:pPr>
        <w:rPr>
          <w:b/>
          <w:i/>
        </w:rPr>
      </w:pPr>
      <w:r w:rsidRPr="002854AA">
        <w:rPr>
          <w:b/>
          <w:i/>
        </w:rPr>
        <w:t xml:space="preserve">Observation </w:t>
      </w:r>
      <w:r>
        <w:rPr>
          <w:b/>
          <w:i/>
        </w:rPr>
        <w:t>6</w:t>
      </w:r>
      <w:r w:rsidRPr="00E8635D">
        <w:rPr>
          <w:b/>
          <w:i/>
        </w:rPr>
        <w:t xml:space="preserve">: </w:t>
      </w:r>
      <w:r>
        <w:rPr>
          <w:b/>
          <w:i/>
        </w:rPr>
        <w:t>RAN4 should discuss the additional requirements to protect EESS passive services and provide a reply to ITU-R in RAN4 #84.</w:t>
      </w:r>
    </w:p>
    <w:p w14:paraId="2D43A1DF" w14:textId="77777777" w:rsidR="00300ADF" w:rsidRPr="00E8635D" w:rsidRDefault="00300ADF" w:rsidP="0040474E">
      <w:pPr>
        <w:jc w:val="both"/>
        <w:rPr>
          <w:b/>
          <w:i/>
        </w:rPr>
      </w:pP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lastRenderedPageBreak/>
        <w:t>Reference</w:t>
      </w:r>
    </w:p>
    <w:p w14:paraId="00CB11E5" w14:textId="77777777" w:rsidR="001A0187" w:rsidRDefault="001A0187" w:rsidP="001A0187">
      <w:pPr>
        <w:pStyle w:val="ListParagraph"/>
        <w:numPr>
          <w:ilvl w:val="0"/>
          <w:numId w:val="2"/>
        </w:numPr>
        <w:jc w:val="both"/>
        <w:rPr>
          <w:lang w:val="en-US"/>
        </w:rPr>
      </w:pPr>
      <w:bookmarkStart w:id="4" w:name="_Ref490059126"/>
      <w:bookmarkStart w:id="5" w:name="_Ref481663184"/>
      <w:bookmarkStart w:id="6" w:name="_Ref473813022"/>
      <w:bookmarkStart w:id="7" w:name="_Ref465947019"/>
      <w:bookmarkStart w:id="8" w:name="_Ref489521996"/>
      <w:r w:rsidRPr="001A0187">
        <w:rPr>
          <w:lang w:val="en-US"/>
        </w:rPr>
        <w:t>R4-1706938</w:t>
      </w:r>
      <w:r>
        <w:rPr>
          <w:lang w:val="en-US"/>
        </w:rPr>
        <w:t>, “</w:t>
      </w:r>
      <w:r w:rsidRPr="001A0187">
        <w:rPr>
          <w:lang w:val="en-US"/>
        </w:rPr>
        <w:t>WF on spurious emission for NR UE</w:t>
      </w:r>
      <w:r>
        <w:rPr>
          <w:lang w:val="en-US"/>
        </w:rPr>
        <w:t xml:space="preserve">”, </w:t>
      </w:r>
      <w:r w:rsidRPr="001A0187">
        <w:rPr>
          <w:lang w:val="en-US"/>
        </w:rPr>
        <w:t>NTT DOCOMO, INC.</w:t>
      </w:r>
      <w:bookmarkEnd w:id="4"/>
    </w:p>
    <w:p w14:paraId="0E6BB082" w14:textId="63EF01BB" w:rsidR="001A0187" w:rsidRDefault="001A0187" w:rsidP="001A0187">
      <w:pPr>
        <w:pStyle w:val="ListParagraph"/>
        <w:numPr>
          <w:ilvl w:val="0"/>
          <w:numId w:val="2"/>
        </w:numPr>
        <w:jc w:val="both"/>
        <w:rPr>
          <w:lang w:val="en-US"/>
        </w:rPr>
      </w:pPr>
      <w:r w:rsidRPr="001A0187">
        <w:rPr>
          <w:lang w:val="en-US"/>
        </w:rPr>
        <w:t>5D/TEMP/321-E, “LIAISON STATEMENT TO 3GPP ON UNWANTED EMISSIONS OF IMT-2020”, ITU-R WP5D</w:t>
      </w:r>
    </w:p>
    <w:p w14:paraId="632243F7" w14:textId="6960EF7F" w:rsidR="00667A48" w:rsidRDefault="00667A48" w:rsidP="00C36BC7">
      <w:pPr>
        <w:pStyle w:val="ListParagraph"/>
        <w:numPr>
          <w:ilvl w:val="0"/>
          <w:numId w:val="2"/>
        </w:numPr>
        <w:jc w:val="both"/>
        <w:rPr>
          <w:lang w:val="en-US"/>
        </w:rPr>
      </w:pPr>
      <w:bookmarkStart w:id="9" w:name="_Ref490059901"/>
      <w:r w:rsidRPr="00667A48">
        <w:rPr>
          <w:lang w:val="en-US"/>
        </w:rPr>
        <w:t>R4-1707004, “LIAISON STATEMENT TO 3GPP ON UNWANTED EMISSIONS OF IMT-2020”</w:t>
      </w:r>
      <w:r>
        <w:rPr>
          <w:lang w:val="en-US"/>
        </w:rPr>
        <w:t>, ITU-R Working Party 5D.</w:t>
      </w:r>
      <w:bookmarkEnd w:id="9"/>
    </w:p>
    <w:p w14:paraId="46D0CB28" w14:textId="2649E62A" w:rsidR="00C36BC7" w:rsidRPr="00667A48" w:rsidRDefault="00C36BC7" w:rsidP="00C36BC7">
      <w:pPr>
        <w:pStyle w:val="ListParagraph"/>
        <w:numPr>
          <w:ilvl w:val="0"/>
          <w:numId w:val="2"/>
        </w:numPr>
        <w:jc w:val="both"/>
        <w:rPr>
          <w:lang w:val="en-US"/>
        </w:rPr>
      </w:pPr>
      <w:r w:rsidRPr="00C36BC7">
        <w:rPr>
          <w:lang w:val="en-US"/>
        </w:rPr>
        <w:t>ITU-R SM.329</w:t>
      </w:r>
      <w:r>
        <w:rPr>
          <w:lang w:val="en-US"/>
        </w:rPr>
        <w:t>, “</w:t>
      </w:r>
      <w:r w:rsidRPr="00C36BC7">
        <w:rPr>
          <w:lang w:val="en-US"/>
        </w:rPr>
        <w:t>Unwanted emissions in the spurious domain</w:t>
      </w:r>
      <w:r>
        <w:rPr>
          <w:lang w:val="en-US"/>
        </w:rPr>
        <w:t>”.</w:t>
      </w:r>
    </w:p>
    <w:bookmarkEnd w:id="5"/>
    <w:bookmarkEnd w:id="6"/>
    <w:bookmarkEnd w:id="7"/>
    <w:bookmarkEnd w:id="8"/>
    <w:p w14:paraId="4B53B678" w14:textId="01127AA6" w:rsidR="00A1353D" w:rsidRPr="007112FE" w:rsidRDefault="00A1353D" w:rsidP="007112FE">
      <w:pPr>
        <w:jc w:val="both"/>
        <w:rPr>
          <w:lang w:val="en-US"/>
        </w:rPr>
      </w:pPr>
    </w:p>
    <w:sectPr w:rsidR="00A1353D" w:rsidRPr="007112FE"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8CA39" w14:textId="77777777" w:rsidR="00584048" w:rsidRDefault="00584048">
      <w:r>
        <w:separator/>
      </w:r>
    </w:p>
  </w:endnote>
  <w:endnote w:type="continuationSeparator" w:id="0">
    <w:p w14:paraId="7EA16374" w14:textId="77777777" w:rsidR="00584048" w:rsidRDefault="00584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E8635D" w:rsidRDefault="00E863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E8635D" w:rsidRDefault="00E863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76DE33ED" w:rsidR="00E8635D" w:rsidRDefault="00E863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337C5">
      <w:rPr>
        <w:rStyle w:val="PageNumber"/>
      </w:rPr>
      <w:t>3</w:t>
    </w:r>
    <w:r>
      <w:rPr>
        <w:rStyle w:val="PageNumber"/>
      </w:rPr>
      <w:fldChar w:fldCharType="end"/>
    </w:r>
  </w:p>
  <w:p w14:paraId="40DAC66D" w14:textId="77777777" w:rsidR="00E8635D" w:rsidRDefault="00E8635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DCB0B" w14:textId="77777777" w:rsidR="00584048" w:rsidRDefault="00584048">
      <w:r>
        <w:separator/>
      </w:r>
    </w:p>
  </w:footnote>
  <w:footnote w:type="continuationSeparator" w:id="0">
    <w:p w14:paraId="3B5A90C9" w14:textId="77777777" w:rsidR="00584048" w:rsidRDefault="00584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3241"/>
    <w:multiLevelType w:val="hybridMultilevel"/>
    <w:tmpl w:val="31E8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B796F"/>
    <w:multiLevelType w:val="hybridMultilevel"/>
    <w:tmpl w:val="BACA6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967315B"/>
    <w:multiLevelType w:val="hybridMultilevel"/>
    <w:tmpl w:val="57C8F45C"/>
    <w:lvl w:ilvl="0" w:tplc="04090001">
      <w:start w:val="1"/>
      <w:numFmt w:val="bullet"/>
      <w:lvlText w:val=""/>
      <w:lvlJc w:val="left"/>
      <w:pPr>
        <w:ind w:left="876" w:hanging="360"/>
      </w:pPr>
      <w:rPr>
        <w:rFonts w:ascii="Symbol" w:hAnsi="Symbol" w:hint="default"/>
      </w:rPr>
    </w:lvl>
    <w:lvl w:ilvl="1" w:tplc="04090003">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7246A"/>
    <w:multiLevelType w:val="hybridMultilevel"/>
    <w:tmpl w:val="782CD37A"/>
    <w:lvl w:ilvl="0" w:tplc="04090001">
      <w:start w:val="1"/>
      <w:numFmt w:val="bullet"/>
      <w:lvlText w:val=""/>
      <w:lvlJc w:val="left"/>
      <w:pPr>
        <w:ind w:left="924" w:hanging="360"/>
      </w:pPr>
      <w:rPr>
        <w:rFonts w:ascii="Symbol" w:hAnsi="Symbo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26"/>
  </w:num>
  <w:num w:numId="3">
    <w:abstractNumId w:val="29"/>
  </w:num>
  <w:num w:numId="4">
    <w:abstractNumId w:val="32"/>
  </w:num>
  <w:num w:numId="5">
    <w:abstractNumId w:val="24"/>
  </w:num>
  <w:num w:numId="6">
    <w:abstractNumId w:val="14"/>
  </w:num>
  <w:num w:numId="7">
    <w:abstractNumId w:val="7"/>
  </w:num>
  <w:num w:numId="8">
    <w:abstractNumId w:val="27"/>
  </w:num>
  <w:num w:numId="9">
    <w:abstractNumId w:val="16"/>
  </w:num>
  <w:num w:numId="10">
    <w:abstractNumId w:val="21"/>
  </w:num>
  <w:num w:numId="11">
    <w:abstractNumId w:val="33"/>
  </w:num>
  <w:num w:numId="12">
    <w:abstractNumId w:val="6"/>
  </w:num>
  <w:num w:numId="13">
    <w:abstractNumId w:val="5"/>
  </w:num>
  <w:num w:numId="14">
    <w:abstractNumId w:val="18"/>
  </w:num>
  <w:num w:numId="15">
    <w:abstractNumId w:val="20"/>
  </w:num>
  <w:num w:numId="16">
    <w:abstractNumId w:val="11"/>
  </w:num>
  <w:num w:numId="17">
    <w:abstractNumId w:val="31"/>
  </w:num>
  <w:num w:numId="18">
    <w:abstractNumId w:val="15"/>
  </w:num>
  <w:num w:numId="19">
    <w:abstractNumId w:val="1"/>
  </w:num>
  <w:num w:numId="20">
    <w:abstractNumId w:val="10"/>
  </w:num>
  <w:num w:numId="21">
    <w:abstractNumId w:val="12"/>
  </w:num>
  <w:num w:numId="22">
    <w:abstractNumId w:val="2"/>
  </w:num>
  <w:num w:numId="23">
    <w:abstractNumId w:val="8"/>
  </w:num>
  <w:num w:numId="24">
    <w:abstractNumId w:val="13"/>
  </w:num>
  <w:num w:numId="25">
    <w:abstractNumId w:val="28"/>
  </w:num>
  <w:num w:numId="26">
    <w:abstractNumId w:val="17"/>
  </w:num>
  <w:num w:numId="27">
    <w:abstractNumId w:val="30"/>
  </w:num>
  <w:num w:numId="28">
    <w:abstractNumId w:val="25"/>
  </w:num>
  <w:num w:numId="29">
    <w:abstractNumId w:val="3"/>
  </w:num>
  <w:num w:numId="30">
    <w:abstractNumId w:val="23"/>
  </w:num>
  <w:num w:numId="31">
    <w:abstractNumId w:val="0"/>
  </w:num>
  <w:num w:numId="32">
    <w:abstractNumId w:val="4"/>
  </w:num>
  <w:num w:numId="33">
    <w:abstractNumId w:val="9"/>
  </w:num>
  <w:num w:numId="3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4379"/>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0187"/>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058"/>
    <w:rsid w:val="002142D2"/>
    <w:rsid w:val="0021437D"/>
    <w:rsid w:val="00214749"/>
    <w:rsid w:val="00216102"/>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504A"/>
    <w:rsid w:val="002778DC"/>
    <w:rsid w:val="00277B68"/>
    <w:rsid w:val="00280813"/>
    <w:rsid w:val="0028105E"/>
    <w:rsid w:val="002834C9"/>
    <w:rsid w:val="00283AAC"/>
    <w:rsid w:val="0028415F"/>
    <w:rsid w:val="0028417E"/>
    <w:rsid w:val="00284391"/>
    <w:rsid w:val="00285070"/>
    <w:rsid w:val="00285405"/>
    <w:rsid w:val="002854AA"/>
    <w:rsid w:val="002854F2"/>
    <w:rsid w:val="0028581F"/>
    <w:rsid w:val="002865FA"/>
    <w:rsid w:val="002869C0"/>
    <w:rsid w:val="00290FB2"/>
    <w:rsid w:val="002921C4"/>
    <w:rsid w:val="00292C3A"/>
    <w:rsid w:val="002932EC"/>
    <w:rsid w:val="00296186"/>
    <w:rsid w:val="00296805"/>
    <w:rsid w:val="00296B1B"/>
    <w:rsid w:val="00296B60"/>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0ADF"/>
    <w:rsid w:val="00301EFA"/>
    <w:rsid w:val="003023C5"/>
    <w:rsid w:val="00302414"/>
    <w:rsid w:val="003028D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B04"/>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822"/>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B52"/>
    <w:rsid w:val="00423FE3"/>
    <w:rsid w:val="00427FFA"/>
    <w:rsid w:val="004312BD"/>
    <w:rsid w:val="00431944"/>
    <w:rsid w:val="00431DD6"/>
    <w:rsid w:val="0043285A"/>
    <w:rsid w:val="00432A7E"/>
    <w:rsid w:val="00432C62"/>
    <w:rsid w:val="00432D57"/>
    <w:rsid w:val="004335A3"/>
    <w:rsid w:val="004337C5"/>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0B1"/>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19C"/>
    <w:rsid w:val="004B7689"/>
    <w:rsid w:val="004C01F2"/>
    <w:rsid w:val="004C0D02"/>
    <w:rsid w:val="004C149D"/>
    <w:rsid w:val="004C1A8E"/>
    <w:rsid w:val="004C226E"/>
    <w:rsid w:val="004C2D36"/>
    <w:rsid w:val="004C321F"/>
    <w:rsid w:val="004C324E"/>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50"/>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2B5F"/>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774B"/>
    <w:rsid w:val="00567FC0"/>
    <w:rsid w:val="00570586"/>
    <w:rsid w:val="005706DD"/>
    <w:rsid w:val="00570B23"/>
    <w:rsid w:val="0057103C"/>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4048"/>
    <w:rsid w:val="00585287"/>
    <w:rsid w:val="00586B81"/>
    <w:rsid w:val="00586D95"/>
    <w:rsid w:val="005873E4"/>
    <w:rsid w:val="00587536"/>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8EC"/>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9C8"/>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A48"/>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62D"/>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8E8"/>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4B6E"/>
    <w:rsid w:val="008E742E"/>
    <w:rsid w:val="008F009E"/>
    <w:rsid w:val="008F05D8"/>
    <w:rsid w:val="008F06EB"/>
    <w:rsid w:val="008F088C"/>
    <w:rsid w:val="008F0928"/>
    <w:rsid w:val="008F1ACD"/>
    <w:rsid w:val="008F2E34"/>
    <w:rsid w:val="008F2E41"/>
    <w:rsid w:val="008F33AA"/>
    <w:rsid w:val="008F38FD"/>
    <w:rsid w:val="008F455D"/>
    <w:rsid w:val="008F47A9"/>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36"/>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444"/>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9A7"/>
    <w:rsid w:val="00990B18"/>
    <w:rsid w:val="00991607"/>
    <w:rsid w:val="0099165C"/>
    <w:rsid w:val="00991D80"/>
    <w:rsid w:val="00991DC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1F9E"/>
    <w:rsid w:val="009B2851"/>
    <w:rsid w:val="009B2DD8"/>
    <w:rsid w:val="009B37A1"/>
    <w:rsid w:val="009B45EB"/>
    <w:rsid w:val="009B4B74"/>
    <w:rsid w:val="009B69BC"/>
    <w:rsid w:val="009B7262"/>
    <w:rsid w:val="009B73DC"/>
    <w:rsid w:val="009B79DD"/>
    <w:rsid w:val="009C04FC"/>
    <w:rsid w:val="009C0F9A"/>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624"/>
    <w:rsid w:val="00A828C9"/>
    <w:rsid w:val="00A82CA9"/>
    <w:rsid w:val="00A82F3F"/>
    <w:rsid w:val="00A83401"/>
    <w:rsid w:val="00A834BF"/>
    <w:rsid w:val="00A83767"/>
    <w:rsid w:val="00A8508E"/>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9A7"/>
    <w:rsid w:val="00B65AC5"/>
    <w:rsid w:val="00B65D55"/>
    <w:rsid w:val="00B66188"/>
    <w:rsid w:val="00B66EC0"/>
    <w:rsid w:val="00B72124"/>
    <w:rsid w:val="00B72140"/>
    <w:rsid w:val="00B73FC3"/>
    <w:rsid w:val="00B7441F"/>
    <w:rsid w:val="00B745E0"/>
    <w:rsid w:val="00B755FD"/>
    <w:rsid w:val="00B7658D"/>
    <w:rsid w:val="00B76B53"/>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46"/>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6ED6"/>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715"/>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6BC7"/>
    <w:rsid w:val="00C37693"/>
    <w:rsid w:val="00C3796D"/>
    <w:rsid w:val="00C42FFC"/>
    <w:rsid w:val="00C4302C"/>
    <w:rsid w:val="00C431E3"/>
    <w:rsid w:val="00C432F5"/>
    <w:rsid w:val="00C43598"/>
    <w:rsid w:val="00C4646C"/>
    <w:rsid w:val="00C47337"/>
    <w:rsid w:val="00C47419"/>
    <w:rsid w:val="00C47C26"/>
    <w:rsid w:val="00C5142D"/>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5BD"/>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54BA"/>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61F"/>
    <w:rsid w:val="00D744C7"/>
    <w:rsid w:val="00D74AC4"/>
    <w:rsid w:val="00D750FB"/>
    <w:rsid w:val="00D75151"/>
    <w:rsid w:val="00D753D3"/>
    <w:rsid w:val="00D76896"/>
    <w:rsid w:val="00D770C9"/>
    <w:rsid w:val="00D771A4"/>
    <w:rsid w:val="00D77597"/>
    <w:rsid w:val="00D77839"/>
    <w:rsid w:val="00D7798A"/>
    <w:rsid w:val="00D80E7F"/>
    <w:rsid w:val="00D80E9D"/>
    <w:rsid w:val="00D81484"/>
    <w:rsid w:val="00D8157D"/>
    <w:rsid w:val="00D8201F"/>
    <w:rsid w:val="00D822E4"/>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3F65"/>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35D"/>
    <w:rsid w:val="00E866EA"/>
    <w:rsid w:val="00E86AB0"/>
    <w:rsid w:val="00E86AE1"/>
    <w:rsid w:val="00E905E3"/>
    <w:rsid w:val="00E909C5"/>
    <w:rsid w:val="00E90A7C"/>
    <w:rsid w:val="00E90CBC"/>
    <w:rsid w:val="00E912E6"/>
    <w:rsid w:val="00E916B8"/>
    <w:rsid w:val="00E91A7F"/>
    <w:rsid w:val="00E92AD0"/>
    <w:rsid w:val="00E92B3F"/>
    <w:rsid w:val="00E92FE3"/>
    <w:rsid w:val="00E9400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4E52"/>
    <w:rsid w:val="00EC5024"/>
    <w:rsid w:val="00EC5BCB"/>
    <w:rsid w:val="00EC65BD"/>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013441">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3831748">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54379071">
      <w:bodyDiv w:val="1"/>
      <w:marLeft w:val="0"/>
      <w:marRight w:val="0"/>
      <w:marTop w:val="0"/>
      <w:marBottom w:val="0"/>
      <w:divBdr>
        <w:top w:val="none" w:sz="0" w:space="0" w:color="auto"/>
        <w:left w:val="none" w:sz="0" w:space="0" w:color="auto"/>
        <w:bottom w:val="none" w:sz="0" w:space="0" w:color="auto"/>
        <w:right w:val="none" w:sz="0" w:space="0" w:color="auto"/>
      </w:divBdr>
      <w:divsChild>
        <w:div w:id="1145701471">
          <w:marLeft w:val="547"/>
          <w:marRight w:val="0"/>
          <w:marTop w:val="77"/>
          <w:marBottom w:val="0"/>
          <w:divBdr>
            <w:top w:val="none" w:sz="0" w:space="0" w:color="auto"/>
            <w:left w:val="none" w:sz="0" w:space="0" w:color="auto"/>
            <w:bottom w:val="none" w:sz="0" w:space="0" w:color="auto"/>
            <w:right w:val="none" w:sz="0" w:space="0" w:color="auto"/>
          </w:divBdr>
        </w:div>
        <w:div w:id="351614171">
          <w:marLeft w:val="547"/>
          <w:marRight w:val="0"/>
          <w:marTop w:val="77"/>
          <w:marBottom w:val="0"/>
          <w:divBdr>
            <w:top w:val="none" w:sz="0" w:space="0" w:color="auto"/>
            <w:left w:val="none" w:sz="0" w:space="0" w:color="auto"/>
            <w:bottom w:val="none" w:sz="0" w:space="0" w:color="auto"/>
            <w:right w:val="none" w:sz="0" w:space="0" w:color="auto"/>
          </w:divBdr>
        </w:div>
        <w:div w:id="937175689">
          <w:marLeft w:val="1166"/>
          <w:marRight w:val="0"/>
          <w:marTop w:val="67"/>
          <w:marBottom w:val="0"/>
          <w:divBdr>
            <w:top w:val="none" w:sz="0" w:space="0" w:color="auto"/>
            <w:left w:val="none" w:sz="0" w:space="0" w:color="auto"/>
            <w:bottom w:val="none" w:sz="0" w:space="0" w:color="auto"/>
            <w:right w:val="none" w:sz="0" w:space="0" w:color="auto"/>
          </w:divBdr>
        </w:div>
        <w:div w:id="25104335">
          <w:marLeft w:val="1166"/>
          <w:marRight w:val="0"/>
          <w:marTop w:val="67"/>
          <w:marBottom w:val="0"/>
          <w:divBdr>
            <w:top w:val="none" w:sz="0" w:space="0" w:color="auto"/>
            <w:left w:val="none" w:sz="0" w:space="0" w:color="auto"/>
            <w:bottom w:val="none" w:sz="0" w:space="0" w:color="auto"/>
            <w:right w:val="none" w:sz="0" w:space="0" w:color="auto"/>
          </w:divBdr>
        </w:div>
        <w:div w:id="2105299991">
          <w:marLeft w:val="1166"/>
          <w:marRight w:val="0"/>
          <w:marTop w:val="67"/>
          <w:marBottom w:val="0"/>
          <w:divBdr>
            <w:top w:val="none" w:sz="0" w:space="0" w:color="auto"/>
            <w:left w:val="none" w:sz="0" w:space="0" w:color="auto"/>
            <w:bottom w:val="none" w:sz="0" w:space="0" w:color="auto"/>
            <w:right w:val="none" w:sz="0" w:space="0" w:color="auto"/>
          </w:divBdr>
        </w:div>
        <w:div w:id="2142461239">
          <w:marLeft w:val="1800"/>
          <w:marRight w:val="0"/>
          <w:marTop w:val="58"/>
          <w:marBottom w:val="0"/>
          <w:divBdr>
            <w:top w:val="none" w:sz="0" w:space="0" w:color="auto"/>
            <w:left w:val="none" w:sz="0" w:space="0" w:color="auto"/>
            <w:bottom w:val="none" w:sz="0" w:space="0" w:color="auto"/>
            <w:right w:val="none" w:sz="0" w:space="0" w:color="auto"/>
          </w:divBdr>
        </w:div>
        <w:div w:id="544299506">
          <w:marLeft w:val="1800"/>
          <w:marRight w:val="0"/>
          <w:marTop w:val="58"/>
          <w:marBottom w:val="0"/>
          <w:divBdr>
            <w:top w:val="none" w:sz="0" w:space="0" w:color="auto"/>
            <w:left w:val="none" w:sz="0" w:space="0" w:color="auto"/>
            <w:bottom w:val="none" w:sz="0" w:space="0" w:color="auto"/>
            <w:right w:val="none" w:sz="0" w:space="0" w:color="auto"/>
          </w:divBdr>
        </w:div>
        <w:div w:id="1103377956">
          <w:marLeft w:val="1800"/>
          <w:marRight w:val="0"/>
          <w:marTop w:val="58"/>
          <w:marBottom w:val="0"/>
          <w:divBdr>
            <w:top w:val="none" w:sz="0" w:space="0" w:color="auto"/>
            <w:left w:val="none" w:sz="0" w:space="0" w:color="auto"/>
            <w:bottom w:val="none" w:sz="0" w:space="0" w:color="auto"/>
            <w:right w:val="none" w:sz="0" w:space="0" w:color="auto"/>
          </w:divBdr>
        </w:div>
        <w:div w:id="657004513">
          <w:marLeft w:val="1800"/>
          <w:marRight w:val="0"/>
          <w:marTop w:val="58"/>
          <w:marBottom w:val="0"/>
          <w:divBdr>
            <w:top w:val="none" w:sz="0" w:space="0" w:color="auto"/>
            <w:left w:val="none" w:sz="0" w:space="0" w:color="auto"/>
            <w:bottom w:val="none" w:sz="0" w:space="0" w:color="auto"/>
            <w:right w:val="none" w:sz="0" w:space="0" w:color="auto"/>
          </w:divBdr>
        </w:div>
        <w:div w:id="763846590">
          <w:marLeft w:val="1800"/>
          <w:marRight w:val="0"/>
          <w:marTop w:val="58"/>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5140364">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1A2B799-94C8-4170-89A9-EE2B52CF9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4</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4</cp:revision>
  <cp:lastPrinted>2017-08-11T19:49:00Z</cp:lastPrinted>
  <dcterms:created xsi:type="dcterms:W3CDTF">2017-08-11T20:10:00Z</dcterms:created>
  <dcterms:modified xsi:type="dcterms:W3CDTF">2017-08-11T20:17:00Z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